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2E" w:rsidRDefault="005940D8">
      <w:bookmarkStart w:id="0" w:name="_GoBack"/>
      <w:bookmarkEnd w:id="0"/>
    </w:p>
    <w:p w:rsidR="00CD49AF" w:rsidRDefault="00CD49AF" w:rsidP="001614C0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B505D">
        <w:rPr>
          <w:rFonts w:ascii="Arial" w:hAnsi="Arial" w:cs="Arial"/>
          <w:b/>
          <w:bCs/>
          <w:sz w:val="28"/>
          <w:szCs w:val="28"/>
          <w:lang w:val="en-US"/>
        </w:rPr>
        <w:t xml:space="preserve">ALK </w:t>
      </w:r>
      <w:r>
        <w:rPr>
          <w:rFonts w:ascii="Arial" w:hAnsi="Arial" w:cs="Arial"/>
          <w:b/>
          <w:bCs/>
          <w:sz w:val="28"/>
          <w:szCs w:val="28"/>
          <w:lang w:val="en-US"/>
        </w:rPr>
        <w:t>and ROS1 Testing Technical Training Workshop</w:t>
      </w:r>
      <w:r w:rsidR="001614C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FB505D">
        <w:rPr>
          <w:rFonts w:ascii="Arial" w:hAnsi="Arial" w:cs="Arial"/>
          <w:b/>
          <w:bCs/>
          <w:sz w:val="28"/>
          <w:szCs w:val="28"/>
          <w:lang w:val="en-US"/>
        </w:rPr>
        <w:t>Agenda</w:t>
      </w:r>
    </w:p>
    <w:p w:rsidR="001614C0" w:rsidRDefault="00B92A13" w:rsidP="001614C0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29</w:t>
      </w:r>
      <w:r w:rsidR="001614C0" w:rsidRPr="001614C0">
        <w:rPr>
          <w:rFonts w:ascii="Arial" w:hAnsi="Arial" w:cs="Arial"/>
          <w:b/>
          <w:bCs/>
          <w:sz w:val="28"/>
          <w:szCs w:val="28"/>
          <w:lang w:val="en-US"/>
        </w:rPr>
        <w:t>th May</w:t>
      </w:r>
      <w:r w:rsidR="001614C0">
        <w:rPr>
          <w:rFonts w:ascii="Arial" w:hAnsi="Arial" w:cs="Arial"/>
          <w:b/>
          <w:bCs/>
          <w:sz w:val="28"/>
          <w:szCs w:val="28"/>
          <w:lang w:val="en-US"/>
        </w:rPr>
        <w:t xml:space="preserve"> 2017</w:t>
      </w:r>
    </w:p>
    <w:p w:rsidR="001614C0" w:rsidRDefault="001614C0" w:rsidP="001614C0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614C0">
        <w:rPr>
          <w:rFonts w:ascii="Arial" w:hAnsi="Arial" w:cs="Arial"/>
          <w:b/>
          <w:bCs/>
          <w:sz w:val="28"/>
          <w:szCs w:val="28"/>
          <w:lang w:val="en-US"/>
        </w:rPr>
        <w:t>Professor Pauwels</w:t>
      </w:r>
    </w:p>
    <w:p w:rsidR="00CD49AF" w:rsidRDefault="00CD49AF" w:rsidP="00CD49AF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Style w:val="Lichtearcering-accent11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2276"/>
      </w:tblGrid>
      <w:tr w:rsidR="00CD49AF" w:rsidRPr="00FB505D" w:rsidTr="00853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Timing</w:t>
            </w:r>
          </w:p>
        </w:tc>
        <w:tc>
          <w:tcPr>
            <w:tcW w:w="6804" w:type="dxa"/>
          </w:tcPr>
          <w:p w:rsidR="00CD49AF" w:rsidRPr="00FB505D" w:rsidRDefault="00CD49AF" w:rsidP="00853B5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Session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Presenter</w:t>
            </w:r>
          </w:p>
        </w:tc>
      </w:tr>
      <w:tr w:rsidR="00CD49AF" w:rsidRPr="00FB505D" w:rsidTr="0085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09:15 – 09:30</w:t>
            </w:r>
          </w:p>
        </w:tc>
        <w:tc>
          <w:tcPr>
            <w:tcW w:w="6804" w:type="dxa"/>
          </w:tcPr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</w:rPr>
              <w:t>Arrival and welcome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Welcome and introductions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Aims of the workshop, review agenda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Housekeeping rules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P. Pauwels</w:t>
            </w:r>
          </w:p>
        </w:tc>
      </w:tr>
      <w:tr w:rsidR="00CD49AF" w:rsidRPr="00FB505D" w:rsidTr="00853B5F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09:30 – 11:00</w:t>
            </w:r>
          </w:p>
        </w:tc>
        <w:tc>
          <w:tcPr>
            <w:tcW w:w="6804" w:type="dxa"/>
          </w:tcPr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ALK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and ROS1 </w:t>
            </w: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gene rearrangements in NSCLC and perspectives on molecular testing in NSCLC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Summarize the NSCLC treatment landscape and the shift towards personalized therapy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Describe the ALK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and ROS1 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pathway and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their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role as oncogenic driver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in NSCLC, highlighting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TKI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inhibition as a viable treatment strategy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Discuss who to test and what to test for: e.g. for</w:t>
            </w:r>
            <w:r w:rsidRPr="00FB505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EGFR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mutations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B505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ALK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and </w:t>
            </w:r>
            <w:r w:rsidRPr="008F307E">
              <w:rPr>
                <w:rFonts w:ascii="Arial" w:hAnsi="Arial" w:cs="Arial"/>
                <w:i/>
                <w:sz w:val="18"/>
                <w:szCs w:val="18"/>
                <w:lang w:val="en-US"/>
              </w:rPr>
              <w:t>ROS1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rearrangements in all patients – which algorithm to follow?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P. Pauwels</w:t>
            </w:r>
          </w:p>
        </w:tc>
      </w:tr>
      <w:tr w:rsidR="00CD49AF" w:rsidRPr="00FB505D" w:rsidTr="0085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11:00 – 11:15</w:t>
            </w:r>
          </w:p>
        </w:tc>
        <w:tc>
          <w:tcPr>
            <w:tcW w:w="6804" w:type="dxa"/>
          </w:tcPr>
          <w:p w:rsidR="00CD49AF" w:rsidRPr="008E5FF0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FF"/>
                <w:sz w:val="18"/>
                <w:szCs w:val="18"/>
                <w:lang w:val="en-US"/>
              </w:rPr>
            </w:pPr>
            <w:r w:rsidRPr="008E5FF0">
              <w:rPr>
                <w:rFonts w:ascii="Arial" w:hAnsi="Arial" w:cs="Arial"/>
                <w:b/>
                <w:color w:val="3366FF"/>
                <w:sz w:val="18"/>
                <w:szCs w:val="18"/>
                <w:lang w:val="en-US"/>
              </w:rPr>
              <w:t>Refreshments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9AF" w:rsidRPr="00FB505D" w:rsidTr="00853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11:15 – 11: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804" w:type="dxa"/>
          </w:tcPr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Emerging platforms for ALK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and ROS1 </w:t>
            </w:r>
            <w:r w:rsidRPr="00FB505D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testing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10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Describe the use of PCR and next-generation sequencing techniques for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translocation</w:t>
            </w:r>
            <w:r w:rsidRPr="00FB505D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testing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11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Discuss the advantages and disadvantages of these techniques, using case studies where appropriate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K. Zwaenepoel</w:t>
            </w:r>
          </w:p>
        </w:tc>
      </w:tr>
      <w:tr w:rsidR="00CD49AF" w:rsidRPr="00FB505D" w:rsidTr="0085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11:45 – 12:25</w:t>
            </w:r>
          </w:p>
        </w:tc>
        <w:tc>
          <w:tcPr>
            <w:tcW w:w="6804" w:type="dxa"/>
          </w:tcPr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IHC workshop: Part 1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Optimal use of available tissue and option of cytology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>Pre-analytical steps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Technical aspects of ALK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/ROS1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IHC testing, discuss how to assess IHC positivity and show examples of positive, negative and false-positive samples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Describe how ALK IHC was validated/CE-marked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Explain how the ALK IHC test in NSCLC differs from the ALK IHC test in lymphoma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K. Zwaenepoel</w:t>
            </w:r>
          </w:p>
        </w:tc>
      </w:tr>
      <w:tr w:rsidR="00CD49AF" w:rsidRPr="00FB505D" w:rsidTr="00853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12:25 – 12:55</w:t>
            </w:r>
          </w:p>
        </w:tc>
        <w:tc>
          <w:tcPr>
            <w:tcW w:w="6804" w:type="dxa"/>
          </w:tcPr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E5FF0">
              <w:rPr>
                <w:rFonts w:ascii="Arial" w:hAnsi="Arial" w:cs="Arial"/>
                <w:b/>
                <w:color w:val="3366FF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9AF" w:rsidRPr="00FB505D" w:rsidTr="0085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12:55 – 13:25</w:t>
            </w:r>
          </w:p>
        </w:tc>
        <w:tc>
          <w:tcPr>
            <w:tcW w:w="6804" w:type="dxa"/>
          </w:tcPr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Concordance between IHC and FISH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Describe results of correlation studies comparing IHC and FISH results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Discuss, using case studies, the significance of discordance between ALK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/ROS1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IHC and ALK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/ROS1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FISH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K. Zwaenepoel</w:t>
            </w:r>
          </w:p>
        </w:tc>
      </w:tr>
      <w:tr w:rsidR="00CD49AF" w:rsidRPr="00FB505D" w:rsidTr="00853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13:25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804" w:type="dxa"/>
          </w:tcPr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FISH workshop: Part 1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Optimal use of available tissue and option of cytology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>Pre-analytical steps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>Overview of the available FISH testing methods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Cs/>
                <w:sz w:val="18"/>
                <w:szCs w:val="18"/>
                <w:lang w:val="en-GB"/>
              </w:rPr>
              <w:t>Summarize</w:t>
            </w:r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stages in the ALK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and ROS1 </w:t>
            </w:r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>Break Apart FISH protocol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Cs/>
                <w:sz w:val="18"/>
                <w:szCs w:val="18"/>
                <w:lang w:val="en-US"/>
              </w:rPr>
              <w:t>Presentation and discussion on how to interpret and score FISH slides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K. Zwaenepoel</w:t>
            </w:r>
          </w:p>
        </w:tc>
      </w:tr>
      <w:tr w:rsidR="00CD49AF" w:rsidRPr="00FB505D" w:rsidTr="0085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14:10 – 14:25</w:t>
            </w:r>
          </w:p>
        </w:tc>
        <w:tc>
          <w:tcPr>
            <w:tcW w:w="6804" w:type="dxa"/>
          </w:tcPr>
          <w:p w:rsidR="00CD49AF" w:rsidRPr="00FB505D" w:rsidRDefault="00CD49AF" w:rsidP="00CD49A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FF0">
              <w:rPr>
                <w:rFonts w:ascii="Arial" w:hAnsi="Arial" w:cs="Arial"/>
                <w:b/>
                <w:color w:val="3366FF"/>
                <w:sz w:val="18"/>
                <w:szCs w:val="18"/>
                <w:lang w:val="en-US"/>
              </w:rPr>
              <w:t>Refreshments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D49AF" w:rsidRPr="00FB505D" w:rsidTr="00853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14:25 – 15:10</w:t>
            </w:r>
          </w:p>
        </w:tc>
        <w:tc>
          <w:tcPr>
            <w:tcW w:w="6804" w:type="dxa"/>
          </w:tcPr>
          <w:p w:rsidR="00793249" w:rsidRPr="00793249" w:rsidRDefault="00793249" w:rsidP="0079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9344B1">
              <w:rPr>
                <w:rFonts w:ascii="Arial" w:eastAsia="MS Mincho" w:hAnsi="Arial" w:cs="Arial"/>
                <w:bCs/>
                <w:color w:val="auto"/>
                <w:sz w:val="18"/>
                <w:szCs w:val="18"/>
                <w:lang w:val="en-US"/>
              </w:rPr>
              <w:t xml:space="preserve">Attendees split into two groups </w:t>
            </w:r>
          </w:p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GROUP A:</w:t>
            </w:r>
          </w:p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IHC workshop: Part 2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9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Practical IHC scoring training around multi-headed microscope</w:t>
            </w:r>
          </w:p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GROUP B:</w:t>
            </w:r>
          </w:p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FISH workshop: Part 2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9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Lab tour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9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FISH scoring training (practical scoring training at microscope and computer in small groups)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K. Zwaenepoel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B505D">
              <w:rPr>
                <w:rFonts w:ascii="Arial" w:hAnsi="Arial" w:cs="Arial"/>
                <w:sz w:val="18"/>
                <w:szCs w:val="18"/>
              </w:rPr>
              <w:t>S. Lambin</w:t>
            </w:r>
          </w:p>
        </w:tc>
      </w:tr>
      <w:tr w:rsidR="00CD49AF" w:rsidRPr="00FB505D" w:rsidTr="0085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15:10 – 15:55</w:t>
            </w:r>
          </w:p>
        </w:tc>
        <w:tc>
          <w:tcPr>
            <w:tcW w:w="6804" w:type="dxa"/>
          </w:tcPr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GROUP B:</w:t>
            </w:r>
          </w:p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IHC workshop: Part 2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9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Practical IHC scoring training around multi-headed microscope</w:t>
            </w:r>
          </w:p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GROUP A:</w:t>
            </w:r>
          </w:p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FISH workshop: Part 2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9"/>
              </w:num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Lab tour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FISH scoring training (practical scoring training at microscope and computer in small groups)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K. Zwaenepoel&amp;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B505D">
              <w:rPr>
                <w:rFonts w:ascii="Arial" w:hAnsi="Arial" w:cs="Arial"/>
                <w:sz w:val="18"/>
                <w:szCs w:val="18"/>
              </w:rPr>
              <w:t>S. Lambin</w:t>
            </w:r>
          </w:p>
        </w:tc>
      </w:tr>
      <w:tr w:rsidR="00CD49AF" w:rsidRPr="00FB505D" w:rsidTr="00853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D49AF" w:rsidRPr="00FB505D" w:rsidRDefault="00CD49AF" w:rsidP="00853B5F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15:55 – 16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804" w:type="dxa"/>
          </w:tcPr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b/>
                <w:sz w:val="18"/>
                <w:szCs w:val="18"/>
                <w:lang w:val="en-US"/>
              </w:rPr>
              <w:t>Summary of training/Q&amp;A/close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Q&amp;A</w:t>
            </w:r>
          </w:p>
          <w:p w:rsidR="00CD49AF" w:rsidRPr="00FB505D" w:rsidRDefault="00CD49AF" w:rsidP="00CD49AF">
            <w:pPr>
              <w:pStyle w:val="Defaul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505D">
              <w:rPr>
                <w:rFonts w:ascii="Arial" w:hAnsi="Arial" w:cs="Arial"/>
                <w:sz w:val="18"/>
                <w:szCs w:val="18"/>
                <w:lang w:val="en-US"/>
              </w:rPr>
              <w:t>Seek feedback on the sessions</w:t>
            </w:r>
          </w:p>
        </w:tc>
        <w:tc>
          <w:tcPr>
            <w:tcW w:w="2276" w:type="dxa"/>
          </w:tcPr>
          <w:p w:rsidR="00CD49AF" w:rsidRPr="00FB505D" w:rsidRDefault="00CD49AF" w:rsidP="00853B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505D">
              <w:rPr>
                <w:rFonts w:ascii="Arial" w:hAnsi="Arial" w:cs="Arial"/>
                <w:sz w:val="18"/>
                <w:szCs w:val="18"/>
              </w:rPr>
              <w:t>P. Pauwels</w:t>
            </w:r>
          </w:p>
        </w:tc>
      </w:tr>
    </w:tbl>
    <w:p w:rsidR="00CD49AF" w:rsidRDefault="00B87EAF" w:rsidP="00B87EAF">
      <w:pPr>
        <w:tabs>
          <w:tab w:val="left" w:pos="1080"/>
        </w:tabs>
      </w:pPr>
      <w:r>
        <w:tab/>
      </w:r>
    </w:p>
    <w:sectPr w:rsidR="00CD49AF" w:rsidSect="007370D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D8" w:rsidRDefault="005940D8" w:rsidP="007370D2">
      <w:pPr>
        <w:spacing w:after="0" w:line="240" w:lineRule="auto"/>
      </w:pPr>
      <w:r>
        <w:separator/>
      </w:r>
    </w:p>
  </w:endnote>
  <w:endnote w:type="continuationSeparator" w:id="0">
    <w:p w:rsidR="005940D8" w:rsidRDefault="005940D8" w:rsidP="0073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AF" w:rsidRDefault="00B87EAF">
    <w:pPr>
      <w:pStyle w:val="Footer"/>
      <w:rPr>
        <w:rFonts w:cs="Arial"/>
        <w:sz w:val="16"/>
        <w:szCs w:val="16"/>
      </w:rPr>
    </w:pPr>
    <w:r w:rsidRPr="00B87EAF">
      <w:rPr>
        <w:rFonts w:cs="Arial"/>
        <w:sz w:val="16"/>
        <w:szCs w:val="16"/>
      </w:rPr>
      <w:t xml:space="preserve">PP-XLK-EUR-0322 </w:t>
    </w:r>
  </w:p>
  <w:p w:rsidR="002E0EB3" w:rsidRPr="002E0EB3" w:rsidRDefault="002E0EB3">
    <w:pPr>
      <w:pStyle w:val="Footer"/>
      <w:rPr>
        <w:rFonts w:cs="Times New Roman"/>
        <w:sz w:val="16"/>
        <w:szCs w:val="16"/>
      </w:rPr>
    </w:pPr>
    <w:r>
      <w:rPr>
        <w:rFonts w:cs="Arial"/>
        <w:sz w:val="16"/>
        <w:szCs w:val="16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D8" w:rsidRDefault="005940D8" w:rsidP="007370D2">
      <w:pPr>
        <w:spacing w:after="0" w:line="240" w:lineRule="auto"/>
      </w:pPr>
      <w:r>
        <w:separator/>
      </w:r>
    </w:p>
  </w:footnote>
  <w:footnote w:type="continuationSeparator" w:id="0">
    <w:p w:rsidR="005940D8" w:rsidRDefault="005940D8" w:rsidP="0073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D2" w:rsidRDefault="007370D2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EDD09A2" wp14:editId="50C74373">
          <wp:simplePos x="0" y="0"/>
          <wp:positionH relativeFrom="column">
            <wp:posOffset>-94844</wp:posOffset>
          </wp:positionH>
          <wp:positionV relativeFrom="paragraph">
            <wp:posOffset>-190601</wp:posOffset>
          </wp:positionV>
          <wp:extent cx="1381125" cy="325755"/>
          <wp:effectExtent l="0" t="0" r="9525" b="0"/>
          <wp:wrapSquare wrapText="bothSides"/>
          <wp:docPr id="21" name="Picture 21" descr="Oncology_rgb_pos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ncology_rgb_pos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8D9"/>
    <w:multiLevelType w:val="hybridMultilevel"/>
    <w:tmpl w:val="7DEE847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3663"/>
    <w:multiLevelType w:val="hybridMultilevel"/>
    <w:tmpl w:val="0666CB8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7A49B6">
      <w:numFmt w:val="bullet"/>
      <w:lvlText w:val="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87CF2"/>
    <w:multiLevelType w:val="hybridMultilevel"/>
    <w:tmpl w:val="525C17A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58DB"/>
    <w:multiLevelType w:val="hybridMultilevel"/>
    <w:tmpl w:val="00866C7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C52DF"/>
    <w:multiLevelType w:val="hybridMultilevel"/>
    <w:tmpl w:val="DE90E21E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B33774"/>
    <w:multiLevelType w:val="hybridMultilevel"/>
    <w:tmpl w:val="47FE32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25B1A"/>
    <w:multiLevelType w:val="hybridMultilevel"/>
    <w:tmpl w:val="91CCBE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F74B1"/>
    <w:multiLevelType w:val="hybridMultilevel"/>
    <w:tmpl w:val="071E46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396E87"/>
    <w:multiLevelType w:val="hybridMultilevel"/>
    <w:tmpl w:val="851606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A34C4C"/>
    <w:multiLevelType w:val="hybridMultilevel"/>
    <w:tmpl w:val="8AC29D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D27F0"/>
    <w:multiLevelType w:val="hybridMultilevel"/>
    <w:tmpl w:val="BBDED47E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D2"/>
    <w:rsid w:val="00042ECC"/>
    <w:rsid w:val="001614C0"/>
    <w:rsid w:val="001E65FB"/>
    <w:rsid w:val="002E0EB3"/>
    <w:rsid w:val="00387409"/>
    <w:rsid w:val="003A6186"/>
    <w:rsid w:val="00486A15"/>
    <w:rsid w:val="005940D8"/>
    <w:rsid w:val="00620D43"/>
    <w:rsid w:val="00694D82"/>
    <w:rsid w:val="007370D2"/>
    <w:rsid w:val="00793249"/>
    <w:rsid w:val="007A6BD4"/>
    <w:rsid w:val="008009B2"/>
    <w:rsid w:val="00802750"/>
    <w:rsid w:val="008D4433"/>
    <w:rsid w:val="008E5FF0"/>
    <w:rsid w:val="00A26B4D"/>
    <w:rsid w:val="00A466A9"/>
    <w:rsid w:val="00A542D7"/>
    <w:rsid w:val="00B332D9"/>
    <w:rsid w:val="00B87EAF"/>
    <w:rsid w:val="00B92A13"/>
    <w:rsid w:val="00BF7C39"/>
    <w:rsid w:val="00C93894"/>
    <w:rsid w:val="00CD49AF"/>
    <w:rsid w:val="00D02A21"/>
    <w:rsid w:val="00DD5AF6"/>
    <w:rsid w:val="00EA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AF"/>
    <w:pPr>
      <w:spacing w:after="200" w:line="276" w:lineRule="auto"/>
    </w:pPr>
    <w:rPr>
      <w:rFonts w:eastAsiaTheme="minorEastAsia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D2"/>
  </w:style>
  <w:style w:type="paragraph" w:styleId="Footer">
    <w:name w:val="footer"/>
    <w:basedOn w:val="Normal"/>
    <w:link w:val="FooterChar"/>
    <w:uiPriority w:val="99"/>
    <w:unhideWhenUsed/>
    <w:rsid w:val="0073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D2"/>
  </w:style>
  <w:style w:type="paragraph" w:customStyle="1" w:styleId="Default">
    <w:name w:val="Default"/>
    <w:rsid w:val="00CD49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de-AT" w:eastAsia="de-AT"/>
    </w:rPr>
  </w:style>
  <w:style w:type="table" w:customStyle="1" w:styleId="Lichtearcering-accent11">
    <w:name w:val="Lichte arcering - accent 11"/>
    <w:basedOn w:val="TableNormal"/>
    <w:uiPriority w:val="60"/>
    <w:rsid w:val="00CD49AF"/>
    <w:pPr>
      <w:spacing w:after="0" w:line="240" w:lineRule="auto"/>
    </w:pPr>
    <w:rPr>
      <w:rFonts w:eastAsiaTheme="minorEastAsia"/>
      <w:color w:val="2E74B5" w:themeColor="accent1" w:themeShade="BF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21"/>
    <w:rPr>
      <w:rFonts w:ascii="Tahoma" w:eastAsiaTheme="minorEastAsi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AF"/>
    <w:pPr>
      <w:spacing w:after="200" w:line="276" w:lineRule="auto"/>
    </w:pPr>
    <w:rPr>
      <w:rFonts w:eastAsiaTheme="minorEastAsia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D2"/>
  </w:style>
  <w:style w:type="paragraph" w:styleId="Footer">
    <w:name w:val="footer"/>
    <w:basedOn w:val="Normal"/>
    <w:link w:val="FooterChar"/>
    <w:uiPriority w:val="99"/>
    <w:unhideWhenUsed/>
    <w:rsid w:val="0073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D2"/>
  </w:style>
  <w:style w:type="paragraph" w:customStyle="1" w:styleId="Default">
    <w:name w:val="Default"/>
    <w:rsid w:val="00CD49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de-AT" w:eastAsia="de-AT"/>
    </w:rPr>
  </w:style>
  <w:style w:type="table" w:customStyle="1" w:styleId="Lichtearcering-accent11">
    <w:name w:val="Lichte arcering - accent 11"/>
    <w:basedOn w:val="TableNormal"/>
    <w:uiPriority w:val="60"/>
    <w:rsid w:val="00CD49AF"/>
    <w:pPr>
      <w:spacing w:after="0" w:line="240" w:lineRule="auto"/>
    </w:pPr>
    <w:rPr>
      <w:rFonts w:eastAsiaTheme="minorEastAsia"/>
      <w:color w:val="2E74B5" w:themeColor="accent1" w:themeShade="BF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21"/>
    <w:rPr>
      <w:rFonts w:ascii="Tahoma" w:eastAsiaTheme="minorEastAsi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Miller</dc:creator>
  <cp:lastModifiedBy>Snijders, Carolien</cp:lastModifiedBy>
  <cp:revision>2</cp:revision>
  <cp:lastPrinted>2017-03-23T12:46:00Z</cp:lastPrinted>
  <dcterms:created xsi:type="dcterms:W3CDTF">2017-03-23T12:46:00Z</dcterms:created>
  <dcterms:modified xsi:type="dcterms:W3CDTF">2017-03-23T12:46:00Z</dcterms:modified>
</cp:coreProperties>
</file>